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z w:val="24"/>
          <w:szCs w:val="24"/>
        </w:rPr>
      </w:pPr>
      <w:r>
        <w:rPr>
          <w:sz w:val="24"/>
          <w:szCs w:val="24"/>
          <w:rtl w:val="0"/>
          <w:lang w:val="en-US"/>
        </w:rPr>
        <w:t xml:space="preserve">CAN-DO is filing this appeal pursuant to SRC 300.420 (d) as CAN-DO is the neighborhood association where the subject property is located. Rebekah Engle is the chairperson of CAN-DO. </w:t>
      </w:r>
    </w:p>
    <w:p>
      <w:pPr>
        <w:pStyle w:val="Body"/>
        <w:rPr>
          <w:sz w:val="24"/>
          <w:szCs w:val="24"/>
        </w:rPr>
      </w:pPr>
    </w:p>
    <w:p>
      <w:pPr>
        <w:pStyle w:val="Body"/>
        <w:rPr>
          <w:sz w:val="24"/>
          <w:szCs w:val="24"/>
        </w:rPr>
      </w:pPr>
      <w:r>
        <w:rPr>
          <w:sz w:val="24"/>
          <w:szCs w:val="24"/>
          <w:rtl w:val="0"/>
          <w:lang w:val="en-US"/>
        </w:rPr>
        <w:t>At the CAN-DO meeting on April 15, 2014 she was authorized by the CAN-DO board to file an appeal of the Minor Historic Review decision allowing removal of three existing Upright Hornbeam trees, and replacement with much smaller trees of the same species.</w:t>
      </w:r>
    </w:p>
    <w:p>
      <w:pPr>
        <w:pStyle w:val="Body"/>
        <w:rPr>
          <w:sz w:val="24"/>
          <w:szCs w:val="24"/>
        </w:rPr>
      </w:pPr>
    </w:p>
    <w:p>
      <w:pPr>
        <w:pStyle w:val="Body"/>
        <w:rPr>
          <w:sz w:val="24"/>
          <w:szCs w:val="24"/>
        </w:rPr>
      </w:pPr>
      <w:r>
        <w:rPr>
          <w:sz w:val="24"/>
          <w:szCs w:val="24"/>
          <w:rtl w:val="0"/>
          <w:lang w:val="en-US"/>
        </w:rPr>
        <w:t xml:space="preserve">This appeal is justified by several errors in the Administrative Decision. </w:t>
      </w:r>
    </w:p>
    <w:p>
      <w:pPr>
        <w:pStyle w:val="Body"/>
        <w:rPr>
          <w:sz w:val="24"/>
          <w:szCs w:val="24"/>
        </w:rPr>
      </w:pPr>
    </w:p>
    <w:p>
      <w:pPr>
        <w:pStyle w:val="Body"/>
        <w:rPr>
          <w:sz w:val="24"/>
          <w:szCs w:val="24"/>
        </w:rPr>
      </w:pPr>
      <w:r>
        <w:rPr>
          <w:sz w:val="24"/>
          <w:szCs w:val="24"/>
          <w:rtl w:val="0"/>
          <w:lang w:val="en-US"/>
        </w:rPr>
        <w:t>(1) An expert arborist (Elwood Newhouse of Elwood</w:t>
      </w:r>
      <w:r>
        <w:rPr>
          <w:rFonts w:hAnsi="Helvetica" w:hint="default"/>
          <w:sz w:val="24"/>
          <w:szCs w:val="24"/>
          <w:rtl w:val="0"/>
          <w:lang w:val="en-US"/>
        </w:rPr>
        <w:t>’</w:t>
      </w:r>
      <w:r>
        <w:rPr>
          <w:sz w:val="24"/>
          <w:szCs w:val="24"/>
          <w:rtl w:val="0"/>
          <w:lang w:val="en-US"/>
        </w:rPr>
        <w:t xml:space="preserve">s Tree Service) has examined the trees and concluded that they are not causing the sidewalk to lift in any significant manner. The arborist also has stated that the trees are healthy, confirming the Historic Review statement </w:t>
      </w:r>
      <w:r>
        <w:rPr>
          <w:rFonts w:hAnsi="Helvetica" w:hint="default"/>
          <w:sz w:val="24"/>
          <w:szCs w:val="24"/>
          <w:rtl w:val="0"/>
          <w:lang w:val="en-US"/>
        </w:rPr>
        <w:t>“</w:t>
      </w:r>
      <w:r>
        <w:rPr>
          <w:sz w:val="24"/>
          <w:szCs w:val="24"/>
          <w:rtl w:val="0"/>
          <w:lang w:val="en-US"/>
        </w:rPr>
        <w:t>The street trees are not diseased.</w:t>
      </w:r>
      <w:r>
        <w:rPr>
          <w:rFonts w:hAnsi="Helvetica" w:hint="default"/>
          <w:sz w:val="24"/>
          <w:szCs w:val="24"/>
          <w:rtl w:val="0"/>
          <w:lang w:val="en-US"/>
        </w:rPr>
        <w:t>”</w:t>
      </w:r>
    </w:p>
    <w:p>
      <w:pPr>
        <w:pStyle w:val="Body"/>
        <w:rPr>
          <w:sz w:val="24"/>
          <w:szCs w:val="24"/>
        </w:rPr>
      </w:pPr>
    </w:p>
    <w:p>
      <w:pPr>
        <w:pStyle w:val="Body"/>
        <w:rPr>
          <w:sz w:val="24"/>
          <w:szCs w:val="24"/>
        </w:rPr>
      </w:pPr>
      <w:r>
        <w:rPr>
          <w:sz w:val="24"/>
          <w:szCs w:val="24"/>
          <w:rtl w:val="0"/>
          <w:lang w:val="en-US"/>
        </w:rPr>
        <w:t>(2) The expert arborist, Mr. Newhouse, says that any minor problems being caused by the trees can be addressed by judicious pruning of roots and the canopy rather than removal.</w:t>
      </w:r>
    </w:p>
    <w:p>
      <w:pPr>
        <w:pStyle w:val="Body"/>
        <w:rPr>
          <w:sz w:val="24"/>
          <w:szCs w:val="24"/>
        </w:rPr>
      </w:pPr>
    </w:p>
    <w:p>
      <w:pPr>
        <w:pStyle w:val="Body"/>
        <w:rPr>
          <w:sz w:val="24"/>
          <w:szCs w:val="24"/>
        </w:rPr>
      </w:pPr>
      <w:r>
        <w:rPr>
          <w:sz w:val="24"/>
          <w:szCs w:val="24"/>
          <w:rtl w:val="0"/>
          <w:lang w:val="en-US"/>
        </w:rPr>
        <w:t xml:space="preserve">(3) Given the findings of the expert arborist, this means that the Historic Review decision is at odds with Streetscape Design Standard 230.075 (b) (7): </w:t>
      </w:r>
      <w:r>
        <w:rPr>
          <w:rFonts w:hAnsi="Helvetica" w:hint="default"/>
          <w:sz w:val="24"/>
          <w:szCs w:val="24"/>
          <w:rtl w:val="0"/>
          <w:lang w:val="en-US"/>
        </w:rPr>
        <w:t>“</w:t>
      </w:r>
      <w:r>
        <w:rPr>
          <w:sz w:val="24"/>
          <w:szCs w:val="24"/>
          <w:rtl w:val="0"/>
          <w:lang w:val="en-US"/>
        </w:rPr>
        <w:t>Only those portions of character-defining streetscape that are deteriorated beyond repair shall be replaced.</w:t>
      </w:r>
      <w:r>
        <w:rPr>
          <w:rFonts w:hAnsi="Helvetica" w:hint="default"/>
          <w:sz w:val="24"/>
          <w:szCs w:val="24"/>
          <w:rtl w:val="0"/>
          <w:lang w:val="en-US"/>
        </w:rPr>
        <w:t xml:space="preserve">” </w:t>
      </w:r>
      <w:r>
        <w:rPr>
          <w:sz w:val="24"/>
          <w:szCs w:val="24"/>
          <w:rtl w:val="0"/>
          <w:lang w:val="en-US"/>
        </w:rPr>
        <w:t xml:space="preserve">Trees are part of </w:t>
      </w:r>
      <w:r>
        <w:rPr>
          <w:rFonts w:hAnsi="Helvetica" w:hint="default"/>
          <w:sz w:val="24"/>
          <w:szCs w:val="24"/>
          <w:rtl w:val="0"/>
          <w:lang w:val="en-US"/>
        </w:rPr>
        <w:t>“</w:t>
      </w:r>
      <w:r>
        <w:rPr>
          <w:sz w:val="24"/>
          <w:szCs w:val="24"/>
          <w:rtl w:val="0"/>
          <w:lang w:val="en-US"/>
        </w:rPr>
        <w:t>streetscape.</w:t>
      </w:r>
      <w:r>
        <w:rPr>
          <w:rFonts w:hAnsi="Helvetica" w:hint="default"/>
          <w:sz w:val="24"/>
          <w:szCs w:val="24"/>
          <w:rtl w:val="0"/>
          <w:lang w:val="en-US"/>
        </w:rPr>
        <w:t xml:space="preserve">” </w:t>
      </w:r>
      <w:r>
        <w:rPr>
          <w:sz w:val="24"/>
          <w:szCs w:val="24"/>
          <w:rtl w:val="0"/>
          <w:lang w:val="en-US"/>
        </w:rPr>
        <w:t xml:space="preserve">These trees help define the character of the High Street </w:t>
      </w:r>
      <w:r>
        <w:rPr>
          <w:sz w:val="24"/>
          <w:szCs w:val="24"/>
          <w:rtl w:val="0"/>
          <w:lang w:val="nl-NL"/>
        </w:rPr>
        <w:t>streetscape</w:t>
      </w:r>
      <w:r>
        <w:rPr>
          <w:sz w:val="24"/>
          <w:szCs w:val="24"/>
          <w:rtl w:val="0"/>
          <w:lang w:val="en-US"/>
        </w:rPr>
        <w:t xml:space="preserve">. Mr. Newhouse has said, </w:t>
      </w:r>
      <w:r>
        <w:rPr>
          <w:rFonts w:hAnsi="Helvetica" w:hint="default"/>
          <w:sz w:val="24"/>
          <w:szCs w:val="24"/>
          <w:rtl w:val="0"/>
          <w:lang w:val="en-US"/>
        </w:rPr>
        <w:t>“</w:t>
      </w:r>
      <w:r>
        <w:rPr>
          <w:sz w:val="24"/>
          <w:szCs w:val="24"/>
          <w:rtl w:val="0"/>
          <w:lang w:val="en-US"/>
        </w:rPr>
        <w:t>There are many things that can be done to preserve these trees. So in a nutshell in my opinion the trees are worth saving.</w:t>
      </w:r>
      <w:r>
        <w:rPr>
          <w:rFonts w:hAnsi="Helvetica" w:hint="default"/>
          <w:sz w:val="24"/>
          <w:szCs w:val="24"/>
          <w:rtl w:val="0"/>
          <w:lang w:val="en-US"/>
        </w:rPr>
        <w:t>”</w:t>
      </w:r>
    </w:p>
    <w:p>
      <w:pPr>
        <w:pStyle w:val="Body"/>
        <w:rPr>
          <w:sz w:val="24"/>
          <w:szCs w:val="24"/>
        </w:rPr>
      </w:pPr>
    </w:p>
    <w:p>
      <w:pPr>
        <w:pStyle w:val="Body"/>
        <w:rPr>
          <w:sz w:val="24"/>
          <w:szCs w:val="24"/>
        </w:rPr>
      </w:pPr>
      <w:r>
        <w:rPr>
          <w:sz w:val="24"/>
          <w:szCs w:val="24"/>
          <w:rtl w:val="0"/>
          <w:lang w:val="en-US"/>
        </w:rPr>
        <w:t xml:space="preserve">(4) The sidewalk which the Historic Review claims supposedly is being damaged by the trees is not a </w:t>
      </w:r>
      <w:r>
        <w:rPr>
          <w:rFonts w:hAnsi="Helvetica" w:hint="default"/>
          <w:sz w:val="24"/>
          <w:szCs w:val="24"/>
          <w:rtl w:val="0"/>
          <w:lang w:val="en-US"/>
        </w:rPr>
        <w:t>“</w:t>
      </w:r>
      <w:r>
        <w:rPr>
          <w:sz w:val="24"/>
          <w:szCs w:val="24"/>
          <w:rtl w:val="0"/>
          <w:lang w:val="en-US"/>
        </w:rPr>
        <w:t>significant sidewalk and driveway feature,</w:t>
      </w:r>
      <w:r>
        <w:rPr>
          <w:rFonts w:hAnsi="Helvetica" w:hint="default"/>
          <w:sz w:val="24"/>
          <w:szCs w:val="24"/>
          <w:rtl w:val="0"/>
          <w:lang w:val="en-US"/>
        </w:rPr>
        <w:t xml:space="preserve">” </w:t>
      </w:r>
      <w:r>
        <w:rPr>
          <w:sz w:val="24"/>
          <w:szCs w:val="24"/>
          <w:rtl w:val="0"/>
          <w:lang w:val="en-US"/>
        </w:rPr>
        <w:t xml:space="preserve">nor does it </w:t>
      </w:r>
      <w:r>
        <w:rPr>
          <w:rFonts w:hAnsi="Helvetica" w:hint="default"/>
          <w:sz w:val="24"/>
          <w:szCs w:val="24"/>
          <w:rtl w:val="0"/>
          <w:lang w:val="en-US"/>
        </w:rPr>
        <w:t>“</w:t>
      </w:r>
      <w:r>
        <w:rPr>
          <w:sz w:val="24"/>
          <w:szCs w:val="24"/>
          <w:rtl w:val="0"/>
          <w:lang w:val="en-US"/>
        </w:rPr>
        <w:t>contribute to the character of the district.</w:t>
      </w:r>
      <w:r>
        <w:rPr>
          <w:rFonts w:hAnsi="Helvetica" w:hint="default"/>
          <w:sz w:val="24"/>
          <w:szCs w:val="24"/>
          <w:rtl w:val="0"/>
          <w:lang w:val="en-US"/>
        </w:rPr>
        <w:t xml:space="preserve">” </w:t>
      </w:r>
      <w:r>
        <w:rPr>
          <w:sz w:val="24"/>
          <w:szCs w:val="24"/>
          <w:rtl w:val="0"/>
          <w:lang w:val="en-US"/>
        </w:rPr>
        <w:t xml:space="preserve">However, 230.075 (b) (5) was cited as being met in the Historic Review decision, since replacement trees supposedly </w:t>
      </w:r>
      <w:r>
        <w:rPr>
          <w:rFonts w:hAnsi="Helvetica" w:hint="default"/>
          <w:sz w:val="24"/>
          <w:szCs w:val="24"/>
          <w:rtl w:val="0"/>
          <w:lang w:val="en-US"/>
        </w:rPr>
        <w:t>“</w:t>
      </w:r>
      <w:r>
        <w:rPr>
          <w:sz w:val="24"/>
          <w:szCs w:val="24"/>
          <w:rtl w:val="0"/>
          <w:lang w:val="en-US"/>
        </w:rPr>
        <w:t>will reduce cracking and deterioration of the sidewalk.</w:t>
      </w:r>
      <w:r>
        <w:rPr>
          <w:rFonts w:hAnsi="Helvetica" w:hint="default"/>
          <w:sz w:val="24"/>
          <w:szCs w:val="24"/>
          <w:rtl w:val="0"/>
          <w:lang w:val="en-US"/>
        </w:rPr>
        <w:t xml:space="preserve">” </w:t>
      </w:r>
      <w:r>
        <w:rPr>
          <w:sz w:val="24"/>
          <w:szCs w:val="24"/>
          <w:rtl w:val="0"/>
          <w:lang w:val="en-US"/>
        </w:rPr>
        <w:t>No findings of fact are presented to support this assertion, another ground for appeal.</w:t>
      </w:r>
    </w:p>
    <w:p>
      <w:pPr>
        <w:pStyle w:val="Body"/>
        <w:rPr>
          <w:sz w:val="24"/>
          <w:szCs w:val="24"/>
        </w:rPr>
      </w:pPr>
    </w:p>
    <w:p>
      <w:pPr>
        <w:pStyle w:val="Body"/>
        <w:rPr>
          <w:sz w:val="24"/>
          <w:szCs w:val="24"/>
        </w:rPr>
      </w:pPr>
      <w:r>
        <w:rPr>
          <w:sz w:val="24"/>
          <w:szCs w:val="24"/>
          <w:rtl w:val="0"/>
          <w:lang w:val="en-US"/>
        </w:rPr>
        <w:t xml:space="preserve">(5) The mature trees have been judged to be healthy and structurally sound. There is good reason to argue that they are significant to the historic district. The trees clearly are more significant than the sidewalk, even if the sidewalk was being materially damaged by the trees </w:t>
      </w:r>
      <w:r>
        <w:rPr>
          <w:rFonts w:hAnsi="Helvetica" w:hint="default"/>
          <w:sz w:val="24"/>
          <w:szCs w:val="24"/>
          <w:rtl w:val="0"/>
          <w:lang w:val="en-US"/>
        </w:rPr>
        <w:t xml:space="preserve">— </w:t>
      </w:r>
      <w:r>
        <w:rPr>
          <w:sz w:val="24"/>
          <w:szCs w:val="24"/>
          <w:rtl w:val="0"/>
          <w:lang w:val="en-US"/>
        </w:rPr>
        <w:t>which, it isn</w:t>
      </w:r>
      <w:r>
        <w:rPr>
          <w:rFonts w:hAnsi="Helvetica" w:hint="default"/>
          <w:sz w:val="24"/>
          <w:szCs w:val="24"/>
          <w:rtl w:val="0"/>
          <w:lang w:val="en-US"/>
        </w:rPr>
        <w:t>’</w:t>
      </w:r>
      <w:r>
        <w:rPr>
          <w:sz w:val="24"/>
          <w:szCs w:val="24"/>
          <w:rtl w:val="0"/>
          <w:lang w:val="en-US"/>
        </w:rPr>
        <w:t>t.</w:t>
      </w:r>
    </w:p>
    <w:p>
      <w:pPr>
        <w:pStyle w:val="Body"/>
        <w:rPr>
          <w:sz w:val="24"/>
          <w:szCs w:val="24"/>
        </w:rPr>
      </w:pPr>
    </w:p>
    <w:p>
      <w:pPr>
        <w:pStyle w:val="Body"/>
      </w:pPr>
      <w:r>
        <w:rPr>
          <w:sz w:val="24"/>
          <w:szCs w:val="24"/>
          <w:rtl w:val="0"/>
          <w:lang w:val="en-US"/>
        </w:rPr>
        <w:t xml:space="preserve">(6) The precise age of the trees is unknown. The decision states </w:t>
      </w:r>
      <w:r>
        <w:rPr>
          <w:rFonts w:hAnsi="Helvetica" w:hint="default"/>
          <w:sz w:val="24"/>
          <w:szCs w:val="24"/>
          <w:rtl w:val="0"/>
          <w:lang w:val="en-US"/>
        </w:rPr>
        <w:t>“</w:t>
      </w:r>
      <w:r>
        <w:rPr>
          <w:sz w:val="24"/>
          <w:szCs w:val="24"/>
          <w:rtl w:val="0"/>
          <w:lang w:val="en-US"/>
        </w:rPr>
        <w:t>they were most likely planted in the 1970s so are not yet fifty years old.</w:t>
      </w:r>
      <w:r>
        <w:rPr>
          <w:rFonts w:hAnsi="Helvetica" w:hint="default"/>
          <w:sz w:val="24"/>
          <w:szCs w:val="24"/>
          <w:rtl w:val="0"/>
          <w:lang w:val="en-US"/>
        </w:rPr>
        <w:t xml:space="preserve">” </w:t>
      </w:r>
      <w:r>
        <w:rPr>
          <w:sz w:val="24"/>
          <w:szCs w:val="24"/>
          <w:rtl w:val="0"/>
          <w:lang w:val="en-US"/>
        </w:rPr>
        <w:t>Given that a tree planted in 1970 now would be 44 years old, the decision isn</w:t>
      </w:r>
      <w:r>
        <w:rPr>
          <w:rFonts w:hAnsi="Helvetica" w:hint="default"/>
          <w:sz w:val="24"/>
          <w:szCs w:val="24"/>
          <w:rtl w:val="0"/>
          <w:lang w:val="en-US"/>
        </w:rPr>
        <w:t>’</w:t>
      </w:r>
      <w:r>
        <w:rPr>
          <w:sz w:val="24"/>
          <w:szCs w:val="24"/>
          <w:rtl w:val="0"/>
          <w:lang w:val="en-US"/>
        </w:rPr>
        <w:t xml:space="preserve">t justified in concluding that the trees are definitely not 50 years old given the </w:t>
      </w:r>
      <w:r>
        <w:rPr>
          <w:rFonts w:hAnsi="Helvetica" w:hint="default"/>
          <w:sz w:val="24"/>
          <w:szCs w:val="24"/>
          <w:rtl w:val="0"/>
          <w:lang w:val="en-US"/>
        </w:rPr>
        <w:t>“</w:t>
      </w:r>
      <w:r>
        <w:rPr>
          <w:sz w:val="24"/>
          <w:szCs w:val="24"/>
          <w:rtl w:val="0"/>
          <w:lang w:val="en-US"/>
        </w:rPr>
        <w:t>likely</w:t>
      </w:r>
      <w:r>
        <w:rPr>
          <w:rFonts w:hAnsi="Helvetica" w:hint="default"/>
          <w:sz w:val="24"/>
          <w:szCs w:val="24"/>
          <w:rtl w:val="0"/>
          <w:lang w:val="en-US"/>
        </w:rPr>
        <w:t xml:space="preserve">” </w:t>
      </w:r>
      <w:r>
        <w:rPr>
          <w:sz w:val="24"/>
          <w:szCs w:val="24"/>
          <w:rtl w:val="0"/>
          <w:lang w:val="en-US"/>
        </w:rPr>
        <w:t>in the cited statement. The burden of proof should be on the applicant to prove the age of the trees, which can live well over 100 years.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